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sr-Cyrl-BA" w:eastAsia="zh-CN"/>
        </w:rPr>
      </w:pPr>
      <w:r w:rsidRPr="007F2206">
        <w:rPr>
          <w:rFonts w:ascii="Times New Roman" w:eastAsia="Calibri" w:hAnsi="Times New Roman" w:cs="Times New Roman"/>
          <w:b/>
          <w:sz w:val="28"/>
          <w:szCs w:val="28"/>
          <w:lang w:val="sr-Cyrl-BA" w:eastAsia="zh-CN"/>
        </w:rPr>
        <w:t>РЕПУБЛИКА СРПСКА</w:t>
      </w:r>
    </w:p>
    <w:p w:rsidR="007025FC" w:rsidRPr="007F2206" w:rsidRDefault="007025FC" w:rsidP="00415289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sr-Cyrl-BA" w:eastAsia="zh-CN"/>
        </w:rPr>
      </w:pPr>
      <w:r w:rsidRPr="007F2206">
        <w:rPr>
          <w:rFonts w:ascii="Times New Roman" w:eastAsia="Calibri" w:hAnsi="Times New Roman" w:cs="Times New Roman"/>
          <w:b/>
          <w:sz w:val="28"/>
          <w:szCs w:val="28"/>
          <w:lang w:val="sr-Cyrl-BA" w:eastAsia="zh-CN"/>
        </w:rPr>
        <w:t xml:space="preserve">МИНИСТАРСТВО </w:t>
      </w:r>
      <w:r w:rsidR="00415289">
        <w:rPr>
          <w:rFonts w:ascii="Times New Roman" w:eastAsia="Calibri" w:hAnsi="Times New Roman" w:cs="Times New Roman"/>
          <w:b/>
          <w:sz w:val="28"/>
          <w:szCs w:val="28"/>
          <w:lang w:val="sr-Cyrl-BA" w:eastAsia="zh-CN"/>
        </w:rPr>
        <w:t>ПРИВРЕДЕ И ПРЕДУЗЕТНИШТВА</w:t>
      </w: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BA" w:eastAsia="zh-CN"/>
        </w:rPr>
      </w:pPr>
    </w:p>
    <w:p w:rsidR="007025FC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BA" w:eastAsia="zh-CN"/>
        </w:rPr>
      </w:pPr>
    </w:p>
    <w:p w:rsidR="00076C14" w:rsidRPr="007F2206" w:rsidRDefault="00076C14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BA" w:eastAsia="zh-CN"/>
        </w:rPr>
      </w:pPr>
    </w:p>
    <w:p w:rsidR="007025FC" w:rsidRPr="007F2206" w:rsidRDefault="007025FC" w:rsidP="007025FC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sr-Cyrl-BA" w:eastAsia="zh-CN"/>
        </w:rPr>
      </w:pPr>
      <w:r w:rsidRPr="007F2206">
        <w:rPr>
          <w:rFonts w:ascii="Times New Roman" w:eastAsia="Calibri" w:hAnsi="Times New Roman" w:cs="Times New Roman"/>
          <w:b/>
          <w:bCs/>
          <w:sz w:val="28"/>
          <w:szCs w:val="28"/>
          <w:lang w:val="sr-Cyrl-BA" w:eastAsia="zh-CN"/>
        </w:rPr>
        <w:t xml:space="preserve">ПРАВИЛНИК </w:t>
      </w:r>
    </w:p>
    <w:p w:rsidR="00F74693" w:rsidRDefault="007025FC" w:rsidP="00415289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sr-Cyrl-BA" w:eastAsia="zh-CN"/>
        </w:rPr>
      </w:pPr>
      <w:r w:rsidRPr="007F2206">
        <w:rPr>
          <w:rFonts w:ascii="Times New Roman" w:eastAsia="Calibri" w:hAnsi="Times New Roman" w:cs="Times New Roman"/>
          <w:b/>
          <w:bCs/>
          <w:sz w:val="28"/>
          <w:szCs w:val="28"/>
          <w:lang w:val="sr-Cyrl-BA" w:eastAsia="zh-CN"/>
        </w:rPr>
        <w:t xml:space="preserve">О ИЗМЈЕНИ ПРАВИЛНИКА </w:t>
      </w:r>
      <w:r w:rsidR="00415289" w:rsidRPr="00415289">
        <w:rPr>
          <w:rFonts w:ascii="Times New Roman" w:eastAsia="Calibri" w:hAnsi="Times New Roman" w:cs="Times New Roman"/>
          <w:b/>
          <w:bCs/>
          <w:sz w:val="28"/>
          <w:szCs w:val="28"/>
          <w:lang w:val="sr-Cyrl-BA" w:eastAsia="zh-CN"/>
        </w:rPr>
        <w:t xml:space="preserve">О </w:t>
      </w:r>
      <w:r w:rsidR="00F74693" w:rsidRPr="00F74693">
        <w:rPr>
          <w:rFonts w:ascii="Times New Roman" w:eastAsia="Calibri" w:hAnsi="Times New Roman" w:cs="Times New Roman"/>
          <w:b/>
          <w:bCs/>
          <w:sz w:val="28"/>
          <w:szCs w:val="28"/>
          <w:lang w:val="sr-Cyrl-BA" w:eastAsia="zh-CN"/>
        </w:rPr>
        <w:t xml:space="preserve">ДЈЕЛАТНОСТИМА </w:t>
      </w:r>
    </w:p>
    <w:p w:rsidR="007025FC" w:rsidRPr="007F2206" w:rsidRDefault="00F74693" w:rsidP="00415289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val="sr-Cyrl-BA" w:eastAsia="zh-CN"/>
        </w:rPr>
      </w:pPr>
      <w:r w:rsidRPr="00F74693">
        <w:rPr>
          <w:rFonts w:ascii="Times New Roman" w:eastAsia="Calibri" w:hAnsi="Times New Roman" w:cs="Times New Roman"/>
          <w:b/>
          <w:bCs/>
          <w:sz w:val="28"/>
          <w:szCs w:val="28"/>
          <w:lang w:val="sr-Cyrl-BA" w:eastAsia="zh-CN"/>
        </w:rPr>
        <w:t>КОЈЕ СЕ МОГУ ОБАВЉАТИ СЕЗОНСКИ</w:t>
      </w: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</w:pPr>
      <w:r w:rsidRPr="007F2206"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  <w:t xml:space="preserve">Бања Лука, </w:t>
      </w:r>
      <w:r w:rsidR="00415289"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  <w:t>јануар</w:t>
      </w:r>
      <w:r w:rsidRPr="007F2206"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  <w:t xml:space="preserve"> 201</w:t>
      </w:r>
      <w:r w:rsidR="00415289"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  <w:t>9</w:t>
      </w:r>
      <w:r w:rsidRPr="007F2206"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  <w:t>. године</w:t>
      </w:r>
    </w:p>
    <w:p w:rsidR="00143BBE" w:rsidRPr="007F2206" w:rsidRDefault="00143BBE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:rsidR="00AA5625" w:rsidRDefault="007025FC" w:rsidP="0038745B">
      <w:pPr>
        <w:suppressAutoHyphens/>
        <w:spacing w:after="6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  <w:r w:rsidRPr="007F2206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br w:type="page"/>
      </w:r>
    </w:p>
    <w:p w:rsidR="00AA5625" w:rsidRDefault="00AA5625">
      <w:pPr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lastRenderedPageBreak/>
        <w:br w:type="page"/>
      </w:r>
    </w:p>
    <w:p w:rsidR="00415289" w:rsidRDefault="007025FC" w:rsidP="0038745B">
      <w:pPr>
        <w:suppressAutoHyphens/>
        <w:spacing w:after="6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  <w:r w:rsidRPr="007F2206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lastRenderedPageBreak/>
        <w:t xml:space="preserve">На основу члана </w:t>
      </w:r>
      <w:r w:rsidR="00F74693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15</w:t>
      </w:r>
      <w:r w:rsidR="00415289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. став </w:t>
      </w:r>
      <w:r w:rsidR="00F74693">
        <w:rPr>
          <w:rFonts w:ascii="Times New Roman" w:eastAsia="Calibri" w:hAnsi="Times New Roman" w:cs="Times New Roman"/>
          <w:sz w:val="24"/>
          <w:szCs w:val="24"/>
          <w:lang w:val="sr-Latn-BA" w:eastAsia="zh-CN"/>
        </w:rPr>
        <w:t>6</w:t>
      </w:r>
      <w:r w:rsidRPr="007F2206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. Закона о занатско-предузетничкој дјелатности („Службени гласник Републи</w:t>
      </w:r>
      <w:r w:rsidR="003E060E" w:rsidRPr="007F2206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ке Српске“, бр. 117/11, 121/12,</w:t>
      </w:r>
      <w:r w:rsidRPr="007F2206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67/13</w:t>
      </w:r>
      <w:r w:rsidR="003E060E" w:rsidRPr="007F2206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и 44/16</w:t>
      </w:r>
      <w:r w:rsidR="00415289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) и члана 76</w:t>
      </w:r>
      <w:r w:rsidRPr="007F2206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. став 2. Закона о републичкој управи </w:t>
      </w:r>
      <w:r w:rsidR="00266729" w:rsidRPr="007F2206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(„Службени гласник Републике Српске“</w:t>
      </w:r>
      <w:r w:rsidR="00802F66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, </w:t>
      </w:r>
      <w:r w:rsidR="00266729" w:rsidRPr="007F2206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бр</w:t>
      </w:r>
      <w:r w:rsidR="00415289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ој</w:t>
      </w:r>
      <w:r w:rsidR="001955D7" w:rsidRPr="007F2206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</w:t>
      </w:r>
      <w:r w:rsidR="00DD28FB" w:rsidRPr="007F2206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1</w:t>
      </w:r>
      <w:r w:rsidR="00415289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15</w:t>
      </w:r>
      <w:r w:rsidR="00DD28FB" w:rsidRPr="007F2206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/18</w:t>
      </w:r>
      <w:r w:rsidRPr="007F2206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),</w:t>
      </w:r>
      <w:r w:rsidR="001955D7" w:rsidRPr="007F2206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</w:t>
      </w:r>
      <w:r w:rsidRPr="007F2206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министар </w:t>
      </w:r>
      <w:r w:rsidR="00415289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привреде и предузетништва доноси</w:t>
      </w:r>
    </w:p>
    <w:p w:rsidR="00415289" w:rsidRDefault="00415289" w:rsidP="0038745B">
      <w:pPr>
        <w:suppressAutoHyphens/>
        <w:spacing w:after="6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</w:pPr>
    </w:p>
    <w:p w:rsidR="00415289" w:rsidRPr="00415289" w:rsidRDefault="00415289" w:rsidP="00415289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  <w:r w:rsidRPr="00415289"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  <w:t xml:space="preserve">ПРАВИЛНИК </w:t>
      </w:r>
    </w:p>
    <w:p w:rsidR="007025FC" w:rsidRPr="007F2206" w:rsidRDefault="00415289" w:rsidP="00415289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  <w:r w:rsidRPr="00415289"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  <w:t xml:space="preserve">О ИЗМЈЕНИ ПРАВИЛНИКА О </w:t>
      </w:r>
      <w:r w:rsidR="00F74693" w:rsidRPr="00F74693"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  <w:t>ДЈЕЛАТНОСТИМА КОЈЕ СЕ МОГУ ОБАВЉАТИ СЕЗОНСКИ</w:t>
      </w:r>
    </w:p>
    <w:p w:rsidR="007025FC" w:rsidRPr="007F2206" w:rsidRDefault="007025FC" w:rsidP="007025FC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FA14DE" w:rsidP="007025FC">
      <w:pPr>
        <w:keepNext/>
        <w:numPr>
          <w:ilvl w:val="2"/>
          <w:numId w:val="0"/>
        </w:numPr>
        <w:tabs>
          <w:tab w:val="num" w:pos="2250"/>
        </w:tabs>
        <w:suppressAutoHyphens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Cs/>
          <w:sz w:val="24"/>
          <w:szCs w:val="24"/>
          <w:lang w:val="sr-Cyrl-BA" w:eastAsia="zh-CN"/>
        </w:rPr>
      </w:pPr>
      <w:r w:rsidRPr="007F2206">
        <w:rPr>
          <w:rFonts w:ascii="Times New Roman" w:eastAsia="Arial Unicode MS" w:hAnsi="Times New Roman" w:cs="Times New Roman"/>
          <w:bCs/>
          <w:sz w:val="24"/>
          <w:szCs w:val="24"/>
          <w:lang w:val="sr-Cyrl-BA" w:eastAsia="zh-CN"/>
        </w:rPr>
        <w:t>Члан 1.</w:t>
      </w:r>
    </w:p>
    <w:p w:rsidR="007025FC" w:rsidRPr="007F2206" w:rsidRDefault="007025FC" w:rsidP="007025FC">
      <w:pPr>
        <w:tabs>
          <w:tab w:val="left" w:pos="4536"/>
        </w:tabs>
        <w:suppressAutoHyphens/>
        <w:spacing w:after="6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Calibri"/>
          <w:sz w:val="24"/>
          <w:lang w:val="sr-Cyrl-BA" w:eastAsia="zh-CN"/>
        </w:rPr>
      </w:pPr>
      <w:r w:rsidRPr="007F2206">
        <w:rPr>
          <w:rFonts w:ascii="Times New Roman" w:eastAsia="Calibri" w:hAnsi="Times New Roman" w:cs="Calibri"/>
          <w:sz w:val="24"/>
          <w:lang w:val="sr-Cyrl-BA" w:eastAsia="zh-CN"/>
        </w:rPr>
        <w:t xml:space="preserve">У Правилнику о </w:t>
      </w:r>
      <w:r w:rsidR="00F74693" w:rsidRPr="00F74693">
        <w:rPr>
          <w:rFonts w:ascii="Times New Roman" w:eastAsia="Calibri" w:hAnsi="Times New Roman" w:cs="Calibri"/>
          <w:sz w:val="24"/>
          <w:lang w:val="sr-Cyrl-BA" w:eastAsia="zh-CN"/>
        </w:rPr>
        <w:t>дјелатностима које се могу обављати сезонски</w:t>
      </w:r>
      <w:r w:rsidR="00415289" w:rsidRPr="00415289">
        <w:rPr>
          <w:rFonts w:ascii="Times New Roman" w:eastAsia="Calibri" w:hAnsi="Times New Roman" w:cs="Calibri"/>
          <w:sz w:val="24"/>
          <w:lang w:val="sr-Cyrl-BA" w:eastAsia="zh-CN"/>
        </w:rPr>
        <w:t xml:space="preserve"> </w:t>
      </w:r>
      <w:r w:rsidRPr="007F2206">
        <w:rPr>
          <w:rFonts w:ascii="Times New Roman" w:eastAsia="Calibri" w:hAnsi="Times New Roman" w:cs="Calibri"/>
          <w:sz w:val="24"/>
          <w:lang w:val="sr-Cyrl-BA" w:eastAsia="zh-CN"/>
        </w:rPr>
        <w:t>(„Службени</w:t>
      </w:r>
      <w:r w:rsidR="003E060E" w:rsidRPr="007F2206">
        <w:rPr>
          <w:rFonts w:ascii="Times New Roman" w:eastAsia="Calibri" w:hAnsi="Times New Roman" w:cs="Calibri"/>
          <w:sz w:val="24"/>
          <w:lang w:val="sr-Cyrl-BA" w:eastAsia="zh-CN"/>
        </w:rPr>
        <w:t xml:space="preserve"> гласник Републике Српске“, бр</w:t>
      </w:r>
      <w:r w:rsidR="00415289">
        <w:rPr>
          <w:rFonts w:ascii="Times New Roman" w:eastAsia="Calibri" w:hAnsi="Times New Roman" w:cs="Calibri"/>
          <w:sz w:val="24"/>
          <w:lang w:val="sr-Cyrl-BA" w:eastAsia="zh-CN"/>
        </w:rPr>
        <w:t xml:space="preserve">ој </w:t>
      </w:r>
      <w:r w:rsidRPr="007F2206">
        <w:rPr>
          <w:rFonts w:ascii="Times New Roman" w:eastAsia="Calibri" w:hAnsi="Times New Roman" w:cs="Calibri"/>
          <w:sz w:val="24"/>
          <w:lang w:val="sr-Cyrl-BA" w:eastAsia="zh-CN"/>
        </w:rPr>
        <w:t>6</w:t>
      </w:r>
      <w:r w:rsidR="00415289">
        <w:rPr>
          <w:rFonts w:ascii="Times New Roman" w:eastAsia="Calibri" w:hAnsi="Times New Roman" w:cs="Calibri"/>
          <w:sz w:val="24"/>
          <w:lang w:val="sr-Cyrl-BA" w:eastAsia="zh-CN"/>
        </w:rPr>
        <w:t>3</w:t>
      </w:r>
      <w:r w:rsidRPr="007F2206">
        <w:rPr>
          <w:rFonts w:ascii="Times New Roman" w:eastAsia="Calibri" w:hAnsi="Times New Roman" w:cs="Calibri"/>
          <w:sz w:val="24"/>
          <w:lang w:val="sr-Cyrl-BA" w:eastAsia="zh-CN"/>
        </w:rPr>
        <w:t>/1</w:t>
      </w:r>
      <w:r w:rsidR="00415289">
        <w:rPr>
          <w:rFonts w:ascii="Times New Roman" w:eastAsia="Calibri" w:hAnsi="Times New Roman" w:cs="Calibri"/>
          <w:sz w:val="24"/>
          <w:lang w:val="sr-Cyrl-BA" w:eastAsia="zh-CN"/>
        </w:rPr>
        <w:t>2</w:t>
      </w:r>
      <w:r w:rsidRPr="007F2206">
        <w:rPr>
          <w:rFonts w:ascii="Times New Roman" w:eastAsia="Calibri" w:hAnsi="Times New Roman" w:cs="Calibri"/>
          <w:sz w:val="24"/>
          <w:lang w:val="sr-Cyrl-BA" w:eastAsia="zh-CN"/>
        </w:rPr>
        <w:t xml:space="preserve">) досадашњи Прилог замјењује се новим Прилогом и чини саставни дио овог правилника. </w:t>
      </w:r>
    </w:p>
    <w:p w:rsidR="007025FC" w:rsidRPr="007F2206" w:rsidRDefault="007025FC" w:rsidP="007025FC">
      <w:pPr>
        <w:suppressAutoHyphens/>
        <w:spacing w:after="6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FA14DE" w:rsidP="007025FC">
      <w:pPr>
        <w:keepNext/>
        <w:numPr>
          <w:ilvl w:val="2"/>
          <w:numId w:val="0"/>
        </w:numPr>
        <w:tabs>
          <w:tab w:val="num" w:pos="2250"/>
        </w:tabs>
        <w:suppressAutoHyphens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Cs/>
          <w:sz w:val="24"/>
          <w:szCs w:val="24"/>
          <w:lang w:val="sr-Cyrl-BA" w:eastAsia="zh-CN"/>
        </w:rPr>
      </w:pPr>
      <w:r w:rsidRPr="007F2206">
        <w:rPr>
          <w:rFonts w:ascii="Times New Roman" w:eastAsia="Arial Unicode MS" w:hAnsi="Times New Roman" w:cs="Times New Roman"/>
          <w:bCs/>
          <w:sz w:val="24"/>
          <w:szCs w:val="24"/>
          <w:lang w:val="sr-Cyrl-BA" w:eastAsia="zh-CN"/>
        </w:rPr>
        <w:t>Члан 2.</w:t>
      </w:r>
    </w:p>
    <w:p w:rsidR="007025FC" w:rsidRPr="007F2206" w:rsidRDefault="007025FC" w:rsidP="007025FC">
      <w:pPr>
        <w:suppressAutoHyphens/>
        <w:spacing w:after="6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</w:pPr>
      <w:r w:rsidRPr="007F2206"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  <w:t xml:space="preserve">Овај правилник ступа на снагу осмог дана од дана објављивања у „Службеном гласнику Републике Српске“. </w:t>
      </w:r>
    </w:p>
    <w:p w:rsidR="007025FC" w:rsidRPr="007F2206" w:rsidRDefault="007025FC" w:rsidP="007025F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</w:pPr>
    </w:p>
    <w:tbl>
      <w:tblPr>
        <w:tblW w:w="10109" w:type="dxa"/>
        <w:tblLook w:val="01E0" w:firstRow="1" w:lastRow="1" w:firstColumn="1" w:lastColumn="1" w:noHBand="0" w:noVBand="0"/>
      </w:tblPr>
      <w:tblGrid>
        <w:gridCol w:w="96"/>
        <w:gridCol w:w="3073"/>
        <w:gridCol w:w="23"/>
        <w:gridCol w:w="2604"/>
        <w:gridCol w:w="478"/>
        <w:gridCol w:w="2870"/>
        <w:gridCol w:w="965"/>
      </w:tblGrid>
      <w:tr w:rsidR="00415289" w:rsidRPr="007F1D34" w:rsidTr="00415289">
        <w:trPr>
          <w:trHeight w:val="278"/>
        </w:trPr>
        <w:tc>
          <w:tcPr>
            <w:tcW w:w="3169" w:type="dxa"/>
            <w:gridSpan w:val="2"/>
          </w:tcPr>
          <w:p w:rsidR="00415289" w:rsidRPr="00DA1934" w:rsidRDefault="00415289" w:rsidP="004152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7F1D3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Број: </w:t>
            </w:r>
          </w:p>
        </w:tc>
        <w:tc>
          <w:tcPr>
            <w:tcW w:w="3105" w:type="dxa"/>
            <w:gridSpan w:val="3"/>
          </w:tcPr>
          <w:p w:rsidR="00415289" w:rsidRPr="007F1D34" w:rsidRDefault="00415289" w:rsidP="002132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35" w:type="dxa"/>
            <w:gridSpan w:val="2"/>
          </w:tcPr>
          <w:p w:rsidR="00415289" w:rsidRPr="007F1D34" w:rsidRDefault="00415289" w:rsidP="0021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7F1D3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МИНИСТАР</w:t>
            </w:r>
          </w:p>
        </w:tc>
      </w:tr>
      <w:tr w:rsidR="00415289" w:rsidRPr="007F1D34" w:rsidTr="00415289">
        <w:trPr>
          <w:trHeight w:val="278"/>
        </w:trPr>
        <w:tc>
          <w:tcPr>
            <w:tcW w:w="3169" w:type="dxa"/>
            <w:gridSpan w:val="2"/>
          </w:tcPr>
          <w:p w:rsidR="00415289" w:rsidRPr="007F1D34" w:rsidRDefault="00415289" w:rsidP="00213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105" w:type="dxa"/>
            <w:gridSpan w:val="3"/>
          </w:tcPr>
          <w:p w:rsidR="00415289" w:rsidRPr="007F1D34" w:rsidRDefault="00415289" w:rsidP="002132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35" w:type="dxa"/>
            <w:gridSpan w:val="2"/>
          </w:tcPr>
          <w:p w:rsidR="00415289" w:rsidRPr="007F1D34" w:rsidRDefault="00415289" w:rsidP="0021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415289" w:rsidRPr="007F1D34" w:rsidTr="00415289">
        <w:trPr>
          <w:trHeight w:val="293"/>
        </w:trPr>
        <w:tc>
          <w:tcPr>
            <w:tcW w:w="3169" w:type="dxa"/>
            <w:gridSpan w:val="2"/>
          </w:tcPr>
          <w:p w:rsidR="00415289" w:rsidRPr="00415289" w:rsidRDefault="00415289" w:rsidP="004152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BA"/>
              </w:rPr>
            </w:pPr>
            <w:r w:rsidRPr="007F1D34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Датум: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105" w:type="dxa"/>
            <w:gridSpan w:val="3"/>
          </w:tcPr>
          <w:p w:rsidR="00415289" w:rsidRPr="007F1D34" w:rsidRDefault="00415289" w:rsidP="002132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35" w:type="dxa"/>
            <w:gridSpan w:val="2"/>
          </w:tcPr>
          <w:p w:rsidR="00415289" w:rsidRPr="007F1D34" w:rsidRDefault="00415289" w:rsidP="0021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Вјекослав Петричевић</w:t>
            </w:r>
          </w:p>
        </w:tc>
      </w:tr>
      <w:tr w:rsidR="007025FC" w:rsidRPr="007F2206" w:rsidTr="0041528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6" w:type="dxa"/>
          <w:wAfter w:w="965" w:type="dxa"/>
          <w:trHeight w:val="278"/>
        </w:trPr>
        <w:tc>
          <w:tcPr>
            <w:tcW w:w="3096" w:type="dxa"/>
            <w:gridSpan w:val="2"/>
            <w:shd w:val="clear" w:color="auto" w:fill="auto"/>
          </w:tcPr>
          <w:p w:rsidR="007025FC" w:rsidRPr="007F2206" w:rsidRDefault="007025FC" w:rsidP="007025F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</w:pPr>
          </w:p>
        </w:tc>
        <w:tc>
          <w:tcPr>
            <w:tcW w:w="2604" w:type="dxa"/>
            <w:shd w:val="clear" w:color="auto" w:fill="auto"/>
          </w:tcPr>
          <w:p w:rsidR="007025FC" w:rsidRPr="007F2206" w:rsidRDefault="007025FC" w:rsidP="007025F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</w:pPr>
          </w:p>
        </w:tc>
        <w:tc>
          <w:tcPr>
            <w:tcW w:w="3348" w:type="dxa"/>
            <w:gridSpan w:val="2"/>
            <w:shd w:val="clear" w:color="auto" w:fill="auto"/>
          </w:tcPr>
          <w:p w:rsidR="007025FC" w:rsidRPr="007F2206" w:rsidRDefault="007025FC" w:rsidP="007025F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</w:pPr>
          </w:p>
        </w:tc>
      </w:tr>
      <w:tr w:rsidR="00415289" w:rsidRPr="007F2206" w:rsidTr="0041528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6" w:type="dxa"/>
          <w:wAfter w:w="965" w:type="dxa"/>
          <w:trHeight w:val="278"/>
        </w:trPr>
        <w:tc>
          <w:tcPr>
            <w:tcW w:w="3096" w:type="dxa"/>
            <w:gridSpan w:val="2"/>
            <w:shd w:val="clear" w:color="auto" w:fill="auto"/>
          </w:tcPr>
          <w:p w:rsidR="00415289" w:rsidRPr="007F2206" w:rsidRDefault="00415289" w:rsidP="007025FC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</w:pPr>
          </w:p>
        </w:tc>
        <w:tc>
          <w:tcPr>
            <w:tcW w:w="2604" w:type="dxa"/>
            <w:shd w:val="clear" w:color="auto" w:fill="auto"/>
          </w:tcPr>
          <w:p w:rsidR="00415289" w:rsidRPr="007F2206" w:rsidRDefault="00415289" w:rsidP="007025F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</w:pPr>
          </w:p>
        </w:tc>
        <w:tc>
          <w:tcPr>
            <w:tcW w:w="3348" w:type="dxa"/>
            <w:gridSpan w:val="2"/>
            <w:shd w:val="clear" w:color="auto" w:fill="auto"/>
          </w:tcPr>
          <w:p w:rsidR="00415289" w:rsidRPr="007F2206" w:rsidRDefault="00415289" w:rsidP="007025F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</w:pPr>
          </w:p>
        </w:tc>
      </w:tr>
      <w:tr w:rsidR="007025FC" w:rsidRPr="007F2206" w:rsidTr="0041528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6" w:type="dxa"/>
          <w:wAfter w:w="965" w:type="dxa"/>
          <w:trHeight w:val="278"/>
        </w:trPr>
        <w:tc>
          <w:tcPr>
            <w:tcW w:w="3096" w:type="dxa"/>
            <w:gridSpan w:val="2"/>
            <w:shd w:val="clear" w:color="auto" w:fill="auto"/>
          </w:tcPr>
          <w:p w:rsidR="007025FC" w:rsidRPr="007F2206" w:rsidRDefault="007025FC" w:rsidP="007025F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</w:pPr>
          </w:p>
        </w:tc>
        <w:tc>
          <w:tcPr>
            <w:tcW w:w="2604" w:type="dxa"/>
            <w:shd w:val="clear" w:color="auto" w:fill="auto"/>
          </w:tcPr>
          <w:p w:rsidR="007025FC" w:rsidRPr="007F2206" w:rsidRDefault="007025FC" w:rsidP="007025F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</w:pPr>
          </w:p>
        </w:tc>
        <w:tc>
          <w:tcPr>
            <w:tcW w:w="3348" w:type="dxa"/>
            <w:gridSpan w:val="2"/>
            <w:shd w:val="clear" w:color="auto" w:fill="auto"/>
          </w:tcPr>
          <w:p w:rsidR="007025FC" w:rsidRPr="007F2206" w:rsidRDefault="007025FC" w:rsidP="007025F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</w:pPr>
          </w:p>
        </w:tc>
      </w:tr>
      <w:tr w:rsidR="007025FC" w:rsidRPr="007F2206" w:rsidTr="0041528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96" w:type="dxa"/>
          <w:wAfter w:w="965" w:type="dxa"/>
          <w:trHeight w:val="293"/>
        </w:trPr>
        <w:tc>
          <w:tcPr>
            <w:tcW w:w="3096" w:type="dxa"/>
            <w:gridSpan w:val="2"/>
            <w:shd w:val="clear" w:color="auto" w:fill="auto"/>
          </w:tcPr>
          <w:p w:rsidR="007025FC" w:rsidRPr="007F2206" w:rsidRDefault="007025FC" w:rsidP="002B0B9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</w:pPr>
          </w:p>
        </w:tc>
        <w:tc>
          <w:tcPr>
            <w:tcW w:w="2604" w:type="dxa"/>
            <w:shd w:val="clear" w:color="auto" w:fill="auto"/>
          </w:tcPr>
          <w:p w:rsidR="007025FC" w:rsidRPr="007F2206" w:rsidRDefault="007025FC" w:rsidP="007025F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zh-CN"/>
              </w:rPr>
            </w:pPr>
          </w:p>
        </w:tc>
        <w:tc>
          <w:tcPr>
            <w:tcW w:w="3348" w:type="dxa"/>
            <w:gridSpan w:val="2"/>
            <w:shd w:val="clear" w:color="auto" w:fill="auto"/>
          </w:tcPr>
          <w:p w:rsidR="007025FC" w:rsidRPr="007F2206" w:rsidRDefault="007025FC" w:rsidP="003C51C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BA" w:eastAsia="zh-CN"/>
              </w:rPr>
            </w:pPr>
          </w:p>
        </w:tc>
      </w:tr>
    </w:tbl>
    <w:p w:rsidR="007025FC" w:rsidRPr="007F2206" w:rsidRDefault="007025FC" w:rsidP="007025FC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</w:pPr>
    </w:p>
    <w:p w:rsidR="00A53F52" w:rsidRPr="007F2206" w:rsidRDefault="00A53F52" w:rsidP="007025FC">
      <w:pPr>
        <w:suppressAutoHyphens/>
        <w:spacing w:after="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</w:pPr>
    </w:p>
    <w:p w:rsidR="00B62DD4" w:rsidRPr="007F2206" w:rsidRDefault="00B62DD4" w:rsidP="00EC2BB7">
      <w:pPr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  <w:sectPr w:rsidR="00B62DD4" w:rsidRPr="007F220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7F2206">
        <w:rPr>
          <w:rFonts w:ascii="Times New Roman" w:eastAsia="Times New Roman" w:hAnsi="Times New Roman" w:cs="Times New Roman"/>
          <w:sz w:val="24"/>
          <w:szCs w:val="24"/>
          <w:lang w:val="sr-Cyrl-BA" w:eastAsia="zh-CN"/>
        </w:rPr>
        <w:br w:type="page"/>
      </w:r>
    </w:p>
    <w:p w:rsidR="00AA5625" w:rsidRDefault="00AA5625" w:rsidP="00575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5625" w:rsidRDefault="00AA5625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br w:type="page"/>
      </w:r>
    </w:p>
    <w:p w:rsidR="005757B1" w:rsidRPr="005757B1" w:rsidRDefault="005757B1" w:rsidP="005757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757B1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ПРИЛОГ</w:t>
      </w:r>
    </w:p>
    <w:p w:rsidR="005757B1" w:rsidRPr="005757B1" w:rsidRDefault="005757B1" w:rsidP="005757B1">
      <w:pPr>
        <w:spacing w:after="0" w:line="240" w:lineRule="auto"/>
        <w:jc w:val="right"/>
        <w:rPr>
          <w:rFonts w:ascii="Times New Roman" w:eastAsia="Times New Roman" w:hAnsi="Times New Roman" w:cs="Times New Roman"/>
          <w:lang w:val="sr-Cyrl-RS"/>
        </w:rPr>
      </w:pPr>
    </w:p>
    <w:p w:rsidR="005757B1" w:rsidRDefault="005757B1" w:rsidP="00575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757B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ЛИСТА ДЈЕЛАТНОСТИ КОЈЕ СЕ МОГУ ОБАВЉАТИ СЕЗОНСКИ</w:t>
      </w:r>
    </w:p>
    <w:p w:rsidR="005757B1" w:rsidRDefault="005757B1" w:rsidP="005757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9643" w:type="dxa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2"/>
        <w:gridCol w:w="1043"/>
        <w:gridCol w:w="5216"/>
        <w:gridCol w:w="2482"/>
      </w:tblGrid>
      <w:tr w:rsidR="00244DDE" w:rsidRPr="00AA2C6A" w:rsidTr="00AA2C6A">
        <w:trPr>
          <w:trHeight w:val="317"/>
        </w:trPr>
        <w:tc>
          <w:tcPr>
            <w:tcW w:w="902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244DDE" w:rsidRPr="00AA2C6A" w:rsidRDefault="00244DDE" w:rsidP="005757B1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Р. </w:t>
            </w:r>
            <w:proofErr w:type="spellStart"/>
            <w:proofErr w:type="gram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бр</w:t>
            </w:r>
            <w:proofErr w:type="spellEnd"/>
            <w:proofErr w:type="gramEnd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6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44DDE" w:rsidRPr="00AA2C6A" w:rsidRDefault="00244DDE" w:rsidP="005757B1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Разред</w:t>
            </w:r>
            <w:proofErr w:type="spellEnd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дјелатности</w:t>
            </w:r>
            <w:proofErr w:type="spellEnd"/>
          </w:p>
        </w:tc>
        <w:tc>
          <w:tcPr>
            <w:tcW w:w="24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44DDE" w:rsidRPr="00AA2C6A" w:rsidRDefault="00244DDE" w:rsidP="005757B1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Обим</w:t>
            </w:r>
            <w:proofErr w:type="spellEnd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послова</w:t>
            </w:r>
            <w:proofErr w:type="spellEnd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у </w:t>
            </w: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оквиру</w:t>
            </w:r>
            <w:proofErr w:type="spellEnd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разреда</w:t>
            </w:r>
            <w:proofErr w:type="spellEnd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дјелатности</w:t>
            </w:r>
            <w:proofErr w:type="spellEnd"/>
          </w:p>
        </w:tc>
      </w:tr>
      <w:tr w:rsidR="00244DDE" w:rsidRPr="00AA2C6A" w:rsidTr="00AA2C6A">
        <w:trPr>
          <w:trHeight w:val="317"/>
        </w:trPr>
        <w:tc>
          <w:tcPr>
            <w:tcW w:w="9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44DDE" w:rsidRPr="00AA2C6A" w:rsidRDefault="00244DDE" w:rsidP="005757B1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44DDE" w:rsidRPr="00AA2C6A" w:rsidRDefault="00244DDE" w:rsidP="005757B1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/>
              </w:rPr>
              <w:t>Шифра</w:t>
            </w:r>
          </w:p>
        </w:tc>
        <w:tc>
          <w:tcPr>
            <w:tcW w:w="5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44DDE" w:rsidRPr="00AA2C6A" w:rsidRDefault="00244DDE" w:rsidP="005757B1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/>
              </w:rPr>
              <w:t>Назив</w:t>
            </w:r>
          </w:p>
        </w:tc>
        <w:tc>
          <w:tcPr>
            <w:tcW w:w="24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44DDE" w:rsidRPr="00AA2C6A" w:rsidRDefault="00244DDE" w:rsidP="005757B1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01.63</w:t>
            </w:r>
          </w:p>
        </w:tc>
        <w:tc>
          <w:tcPr>
            <w:tcW w:w="5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Дјелатности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које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обављају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након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жетве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бербе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пољопривредних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производа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(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припрема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примарно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тржиште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01.64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Дорада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сјемења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(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сјеменски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материјал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02.30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Прикупљање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некултивисаних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шумских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плодова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производа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осим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шумских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сортимената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02.40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Помоћне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услужне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дјелатности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у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шумарству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Искључује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који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односе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инвентуру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процјену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заштиту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шума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услуге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савјетовања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везане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управљање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шумом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16.10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Тестерисање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блањање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дрвета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(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производња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резане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грађе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);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импрегнација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дрвета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Искључиво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резење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љуштење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цијепање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трупаца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услужно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резање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огревног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дрвета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23.61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Производња</w:t>
            </w:r>
            <w:proofErr w:type="spellEnd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производа</w:t>
            </w:r>
            <w:proofErr w:type="spellEnd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од</w:t>
            </w:r>
            <w:proofErr w:type="spellEnd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бетона</w:t>
            </w:r>
            <w:proofErr w:type="spellEnd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за</w:t>
            </w:r>
            <w:proofErr w:type="spellEnd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грађевинарство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23.62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Производња</w:t>
            </w:r>
            <w:proofErr w:type="spellEnd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производа</w:t>
            </w:r>
            <w:proofErr w:type="spellEnd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од</w:t>
            </w:r>
            <w:proofErr w:type="spellEnd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гипса</w:t>
            </w:r>
            <w:proofErr w:type="spellEnd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за</w:t>
            </w:r>
            <w:proofErr w:type="spellEnd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грађевинарство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23.63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Производња</w:t>
            </w:r>
            <w:proofErr w:type="spellEnd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готове</w:t>
            </w:r>
            <w:proofErr w:type="spellEnd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бетонске</w:t>
            </w:r>
            <w:proofErr w:type="spellEnd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смјесе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23.64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Производња</w:t>
            </w:r>
            <w:proofErr w:type="spellEnd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малтера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23.65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Производња</w:t>
            </w:r>
            <w:proofErr w:type="spellEnd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влакнастих</w:t>
            </w:r>
            <w:proofErr w:type="spellEnd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зацементираних</w:t>
            </w:r>
            <w:proofErr w:type="spellEnd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производа</w:t>
            </w:r>
            <w:proofErr w:type="spellEnd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(</w:t>
            </w: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фиброцемента</w:t>
            </w:r>
            <w:proofErr w:type="spellEnd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23.69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Производња</w:t>
            </w:r>
            <w:proofErr w:type="spellEnd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осталих</w:t>
            </w:r>
            <w:proofErr w:type="spellEnd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производа</w:t>
            </w:r>
            <w:proofErr w:type="spellEnd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од</w:t>
            </w:r>
            <w:proofErr w:type="spellEnd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бетона</w:t>
            </w:r>
            <w:proofErr w:type="spellEnd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цемента</w:t>
            </w:r>
            <w:proofErr w:type="spellEnd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гипса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41.20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Изградња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стамбених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нестамбених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зграда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Искључиво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извођење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радова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грађење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објеката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који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захтијевају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грађевинску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дозволу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42.21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Изградња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цјевовода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течности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гасове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Искључиво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бушење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копање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извора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воде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као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изградњу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резервоара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који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захтијевају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грађевинску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дозволу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42.99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Изградња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осталих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објеката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нискоградње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, д. н.</w:t>
            </w: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Искључиво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радови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који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захтијевају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грађевинску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дозволу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43.11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Уклањање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објеката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Искључиво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извођење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радова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који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захтијевају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грађевинску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дозволу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43.12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Припремни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радови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градилишту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Искључиво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извођење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припремних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радова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објекте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радови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који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захтијевају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грађевинску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дозволу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43.21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Електроинсталациони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радови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Искључиво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извођењу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радова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објеката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који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захтијевају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грађевинску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дозволу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43.22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Увођење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инсталација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водовода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канализације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гаса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инсталација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гријање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климатизацију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Искључиво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извођењу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радова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објеката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који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захтијевају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грађевинску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дозволу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43.29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Остали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грађевински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инсталациони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радови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Искључиво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извођењу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радова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објеката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који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захтијевају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грађевинску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дозволу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43.31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Фасадни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штукатурни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радови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43.32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Уградња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столарије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43.33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Постављање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подних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зидних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облога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43.34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Фарбарски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стакларски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радови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43.39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Остали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завршни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грађевински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радови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43.91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Подизање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кровних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конструкција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покривање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кровова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Искључиво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извођење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радова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објеката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који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захтијевају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грађевинску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дозволу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43.99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Остале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специјализоване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грађевинске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дјелатности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, д. н.</w:t>
            </w: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Искључиво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извођење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радова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објеката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који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захтијевају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грађевинску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дозволу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47.11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Трговина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мало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у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неспецијализованим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продавницама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претежно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прехрамбеним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производима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пићима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дуванским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производима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47.19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Остала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трговина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мало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у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неспецијализованим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продавницама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47.21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Трговина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мало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воћем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поврћем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у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специјализованим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продавницама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47.22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Трговина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мало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месом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производима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од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меса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у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специјализованим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продавницама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47.23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Трговина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мало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рибом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љускарима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мекушцима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у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специјализованим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продавницама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47.24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Трговина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мало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хљебом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колачима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производима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од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брашна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производима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од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шећера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у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специјализованим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продавницама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47.25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Трговина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мало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пићима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у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специјализованим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продавницама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47.26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Трговина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мало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производима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од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дувана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у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специјализованим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продавницама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47.29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Остала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трговина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мало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прехрамбеним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производима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у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специјализованим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продавницама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47.41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Трговина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мало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рачунарима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периферним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јединицама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софтвером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у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специјализованим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продавницама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47.42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Трговина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мало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телекомуникационом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опремом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у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специјализованим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продавницама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47.43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Трговина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мало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аудио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видео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опремом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у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специјализованим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продавницама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47.51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Трговина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мало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текстилом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у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специјализованим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продавницама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47.52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Трговина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мало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робом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од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метала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бојама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стаклом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у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специјализованим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продавницама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47.53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Трговина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мало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теписима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простирачима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зидним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подним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облогама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у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специјализованим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продавницама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47.54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Трговина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мало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електричним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апаратима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домаћинство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у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специјализованим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продавницама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47.59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Трговина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мало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намјештајем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опремом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расвјету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осталим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производима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домаћинство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у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специјализованим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продавницама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47.61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Трговина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мало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књигама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у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специјализованим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продавницама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47.62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Трговина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мало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новинама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папиром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писаћим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прибором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у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специјализованим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продавницама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47.63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Трговина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мало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музичким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видео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записима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у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специјализованим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продавницама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47.64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Трговина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мало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спортском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опремом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у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специјализованим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продавницама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47.65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Трговина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мало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играма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играчкама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у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специјализованим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продавницама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47.71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Трговина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мало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одјећом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у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специјализованим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продавницама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47.72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Трговина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мало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обућом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робом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од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коже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у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специјализованим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продавницама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47.75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Трговина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мало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козметичким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тоалетним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препаратима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у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специјализованим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продавницама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47.76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Трговина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мало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цвијећем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садницама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сјемењем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ђубривом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кућним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љубимцима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храном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кућне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љубимце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у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специјализованим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продавницама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47.77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Трговина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мало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сатовима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накитом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у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специјализованим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продавницама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47.78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Остала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трговина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мало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новом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робом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у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специјализованим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продавницама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Искључује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трговину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мало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лож-уљем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домаћинство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гасом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у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боцама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47.79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Трговина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мало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половном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робом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у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специјализованим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продавницама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47.81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Трговина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мало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храном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пићима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дуванским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производима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тезгама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пијацама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47.82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Трговина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мало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текстилом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одјећом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обућом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тезгама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пијацама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47.89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Трговина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мало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осталом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робом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тезгама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пијацама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47.99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Остала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трговина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мало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изван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продавница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тезги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пијаца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Искључује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директну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продају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лож-уља</w:t>
            </w:r>
            <w:proofErr w:type="spellEnd"/>
          </w:p>
        </w:tc>
      </w:tr>
      <w:tr w:rsidR="00C11589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1589" w:rsidRPr="00C11589" w:rsidRDefault="00C11589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1589" w:rsidRPr="00C11589" w:rsidRDefault="00C11589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lang w:val="sr-Cyrl-BA" w:eastAsia="zh-CN" w:bidi="hi-IN"/>
              </w:rPr>
            </w:pPr>
            <w:r w:rsidRPr="00C11589"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lang w:val="sr-Cyrl-BA" w:eastAsia="zh-CN" w:bidi="hi-IN"/>
              </w:rPr>
              <w:t>49.39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11589" w:rsidRPr="00C11589" w:rsidRDefault="00C11589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C11589"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Остали</w:t>
            </w:r>
            <w:proofErr w:type="spellEnd"/>
            <w:r w:rsidRPr="00C11589"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C11589"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копнени</w:t>
            </w:r>
            <w:proofErr w:type="spellEnd"/>
            <w:r w:rsidRPr="00C11589"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C11589"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превоз</w:t>
            </w:r>
            <w:proofErr w:type="spellEnd"/>
            <w:r w:rsidRPr="00C11589"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C11589"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путника</w:t>
            </w:r>
            <w:proofErr w:type="spellEnd"/>
            <w:r w:rsidRPr="00C11589"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C11589"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д.н</w:t>
            </w:r>
            <w:proofErr w:type="spellEnd"/>
            <w:r w:rsidRPr="00C11589"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1589" w:rsidRPr="00C11589" w:rsidRDefault="00C11589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lang w:val="sr-Cyrl-BA" w:eastAsia="zh-CN" w:bidi="hi-IN"/>
              </w:rPr>
            </w:pPr>
            <w:r w:rsidRPr="00C11589"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lang w:val="sr-Cyrl-BA" w:eastAsia="zh-CN" w:bidi="hi-IN"/>
              </w:rPr>
              <w:t>Сви послови</w:t>
            </w:r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50.30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Превоз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путника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унутрашњим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воденим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путевима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55.10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Хотели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сличан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смјештај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55.20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Одмаралишта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остали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смјештај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краћи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одмор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55.30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Кампови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простори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камповање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55.90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Остали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смјештај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56.10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Дјелатности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ресторана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услуге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доставе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хране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56.21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Дјелатности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кетеринга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56.29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Остале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дјелатности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припреме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послуживања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(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доставе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)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хране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56.30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Дјелатности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припреме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послуживања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пића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77.12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Изнајмљивање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давање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у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закуп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(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лизинг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)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камиона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Искључиво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изнајмљивање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возила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рекреацију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77.21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Изнајмљивање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давање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у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закуп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(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лизинг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)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опреме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рекреацију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спорт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79.11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Дјелатности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путничких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агенција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79.12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Дјелатности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тур-оператора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79.90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Остале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резервацијске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услуге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припадајуће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дјелатности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81.30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Услужне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дјелатности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уређења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одржавања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зелених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површина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85.51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Образовање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у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области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спорта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рекреације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93.11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Рад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спортских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објеката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93.13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Фитнес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центри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93.21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Дјелатности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забавних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тематских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паркова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93.29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Остале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забавне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рекреативне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дјелатности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95.29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Поправка</w:t>
            </w:r>
            <w:proofErr w:type="spellEnd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осталих</w:t>
            </w:r>
            <w:proofErr w:type="spellEnd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предмета</w:t>
            </w:r>
            <w:proofErr w:type="spellEnd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за</w:t>
            </w:r>
            <w:proofErr w:type="spellEnd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личну</w:t>
            </w:r>
            <w:proofErr w:type="spellEnd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употребу</w:t>
            </w:r>
            <w:proofErr w:type="spellEnd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домаћинство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96.04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Дјелатности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за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његу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одржавање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тијела</w:t>
            </w:r>
            <w:proofErr w:type="spellEnd"/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  <w:tr w:rsidR="005757B1" w:rsidRPr="00AA2C6A" w:rsidTr="00AA2C6A">
        <w:tblPrEx>
          <w:tblCellMar>
            <w:left w:w="55" w:type="dxa"/>
          </w:tblCellMar>
        </w:tblPrEx>
        <w:tc>
          <w:tcPr>
            <w:tcW w:w="9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numPr>
                <w:ilvl w:val="0"/>
                <w:numId w:val="2"/>
              </w:num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244DDE">
            <w:pPr>
              <w:suppressLineNumber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96.09</w:t>
            </w:r>
          </w:p>
        </w:tc>
        <w:tc>
          <w:tcPr>
            <w:tcW w:w="52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Остале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личне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услужне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дјелатности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, д. н.</w:t>
            </w: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57B1" w:rsidRPr="00AA2C6A" w:rsidRDefault="005757B1" w:rsidP="005757B1">
            <w:pPr>
              <w:suppressLineNumbers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Сви</w:t>
            </w:r>
            <w:proofErr w:type="spellEnd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2C6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послови</w:t>
            </w:r>
            <w:proofErr w:type="spellEnd"/>
          </w:p>
        </w:tc>
      </w:tr>
    </w:tbl>
    <w:p w:rsidR="005757B1" w:rsidRPr="005757B1" w:rsidRDefault="005757B1" w:rsidP="005757B1">
      <w:pPr>
        <w:spacing w:after="0" w:line="240" w:lineRule="auto"/>
        <w:rPr>
          <w:rFonts w:ascii="Times New Roman" w:eastAsia="NSimSun" w:hAnsi="Times New Roman" w:cs="Lucida Sans"/>
          <w:kern w:val="2"/>
          <w:sz w:val="24"/>
          <w:szCs w:val="24"/>
          <w:lang w:eastAsia="zh-CN" w:bidi="hi-IN"/>
        </w:rPr>
      </w:pPr>
    </w:p>
    <w:p w:rsidR="005757B1" w:rsidRPr="005757B1" w:rsidRDefault="005757B1" w:rsidP="005757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757B1" w:rsidRDefault="005757B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5757B1" w:rsidRDefault="005757B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5757B1" w:rsidRDefault="005757B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5757B1" w:rsidRDefault="005757B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5757B1" w:rsidRDefault="005757B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5757B1" w:rsidRDefault="005757B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5757B1" w:rsidRDefault="005757B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5757B1" w:rsidRDefault="005757B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5757B1" w:rsidRDefault="005757B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5757B1" w:rsidRDefault="005757B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5757B1" w:rsidRDefault="005757B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5757B1" w:rsidRDefault="005757B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5757B1" w:rsidRDefault="005757B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5757B1" w:rsidRDefault="005757B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5757B1" w:rsidRDefault="005757B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5757B1" w:rsidRDefault="005757B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5757B1" w:rsidRDefault="005757B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5757B1" w:rsidRDefault="005757B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5757B1" w:rsidRDefault="005757B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5757B1" w:rsidRDefault="005757B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5757B1" w:rsidRDefault="005757B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5757B1" w:rsidRDefault="005757B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5757B1" w:rsidRDefault="005757B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5757B1" w:rsidRDefault="005757B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5757B1" w:rsidRDefault="005757B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5757B1" w:rsidRDefault="005757B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5757B1" w:rsidRDefault="005757B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5757B1" w:rsidRDefault="005757B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5757B1" w:rsidRDefault="005757B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5757B1" w:rsidRDefault="005757B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5757B1" w:rsidRDefault="005757B1" w:rsidP="007025FC">
      <w:pPr>
        <w:suppressAutoHyphens/>
        <w:spacing w:after="6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AA5625" w:rsidRDefault="00AA5625" w:rsidP="00117742">
      <w:pPr>
        <w:suppressAutoHyphens/>
        <w:spacing w:after="6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AA5625" w:rsidRDefault="00AA5625">
      <w:pPr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  <w:br w:type="page"/>
      </w:r>
    </w:p>
    <w:p w:rsidR="007025FC" w:rsidRPr="007F2206" w:rsidRDefault="007025FC" w:rsidP="00117742">
      <w:pPr>
        <w:suppressAutoHyphens/>
        <w:spacing w:after="6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  <w:r w:rsidRPr="007F2206"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  <w:lastRenderedPageBreak/>
        <w:t>ОБРАЗЛОЖЕЊЕ</w:t>
      </w:r>
    </w:p>
    <w:p w:rsidR="007025FC" w:rsidRPr="007F2206" w:rsidRDefault="007025FC" w:rsidP="00117742">
      <w:pPr>
        <w:suppressAutoHyphens/>
        <w:spacing w:after="6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  <w:r w:rsidRPr="007F2206"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  <w:t xml:space="preserve">ПРАВИЛНИКА О </w:t>
      </w:r>
      <w:r w:rsidR="00415289" w:rsidRPr="00415289"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  <w:t xml:space="preserve">ИЗМЈЕНИ ПРАВИЛНИКА О </w:t>
      </w:r>
      <w:r w:rsidR="00F74693" w:rsidRPr="00F74693"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  <w:t>ДЈЕЛАТНОСТИМА КОЈЕ СЕ МОГУ ОБАВЉАТИ СЕЗОНСКИ</w:t>
      </w:r>
    </w:p>
    <w:p w:rsidR="007025FC" w:rsidRPr="007F2206" w:rsidRDefault="007025FC" w:rsidP="007025FC">
      <w:pPr>
        <w:suppressAutoHyphens/>
        <w:spacing w:after="6" w:line="240" w:lineRule="auto"/>
        <w:ind w:firstLine="340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7025FC" w:rsidRPr="007F2206" w:rsidRDefault="007025FC" w:rsidP="002B0B9F">
      <w:pPr>
        <w:tabs>
          <w:tab w:val="left" w:pos="720"/>
        </w:tabs>
        <w:suppressAutoHyphens/>
        <w:spacing w:after="6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  <w:r w:rsidRPr="007F2206"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  <w:t>I  ПРАВНИ ОСНОВ</w:t>
      </w:r>
    </w:p>
    <w:p w:rsidR="007025FC" w:rsidRPr="007F2206" w:rsidRDefault="007025FC" w:rsidP="007025FC">
      <w:pPr>
        <w:suppressAutoHyphens/>
        <w:spacing w:after="6" w:line="240" w:lineRule="auto"/>
        <w:ind w:firstLine="340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ind w:firstLine="34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</w:pP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Правни основ за доношење Правилника о </w:t>
      </w:r>
      <w:r w:rsidR="009F13B3" w:rsidRPr="009F13B3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измјени </w:t>
      </w:r>
      <w:r w:rsidR="009F13B3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П</w:t>
      </w:r>
      <w:r w:rsidR="009F13B3" w:rsidRPr="009F13B3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равилника о </w:t>
      </w:r>
      <w:r w:rsidR="00F74693" w:rsidRPr="00F74693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дјелатностима које се могу обављати сезонски</w:t>
      </w:r>
      <w:r w:rsidR="00F74693"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</w:t>
      </w: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садржан је у одредби члана </w:t>
      </w:r>
      <w:r w:rsidR="00F74693">
        <w:rPr>
          <w:rFonts w:ascii="Times New Roman" w:eastAsia="Calibri" w:hAnsi="Times New Roman" w:cs="Times New Roman"/>
          <w:bCs/>
          <w:sz w:val="24"/>
          <w:szCs w:val="24"/>
          <w:lang w:val="sr-Latn-BA" w:eastAsia="zh-CN"/>
        </w:rPr>
        <w:t>15</w:t>
      </w: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. став </w:t>
      </w:r>
      <w:r w:rsidR="00F74693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6</w:t>
      </w: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. Закона о занатско-предузетничкој дјелатности („Службени гласник Републи</w:t>
      </w:r>
      <w:r w:rsidR="0055207B"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ке Српске“, бр. 117/11, 121/12,</w:t>
      </w: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67/13</w:t>
      </w:r>
      <w:r w:rsidR="0055207B"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и 44/16</w:t>
      </w: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) којим је прописано да министар доноси правилник о </w:t>
      </w:r>
      <w:r w:rsidR="009F13B3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предузетничким </w:t>
      </w: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дјелатностима </w:t>
      </w:r>
      <w:r w:rsidR="00F74693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које се могу обављати сезонски и услове за њихово обављање, </w:t>
      </w:r>
      <w:r w:rsidR="009F13B3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по претходно прибављеном мишљењу министарства надлежног за поједину предузетничку дјелатност, </w:t>
      </w: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као и одредби члана </w:t>
      </w:r>
      <w:r w:rsidR="009F13B3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76</w:t>
      </w: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. став 2. Закона о републичкој управи </w:t>
      </w:r>
      <w:r w:rsidR="00A9453D" w:rsidRPr="007F2206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(„Службени гласник Републике Српске“, бр</w:t>
      </w:r>
      <w:r w:rsidR="009F13B3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ој</w:t>
      </w:r>
      <w:r w:rsidR="00A9453D" w:rsidRPr="007F2206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 </w:t>
      </w:r>
      <w:r w:rsidR="0053235A" w:rsidRPr="007F2206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11</w:t>
      </w:r>
      <w:r w:rsidR="009F13B3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5</w:t>
      </w:r>
      <w:r w:rsidR="0053235A" w:rsidRPr="007F2206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/</w:t>
      </w:r>
      <w:r w:rsidR="00F07592" w:rsidRPr="007F2206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>18</w:t>
      </w:r>
      <w:r w:rsidR="0053235A" w:rsidRPr="007F2206">
        <w:rPr>
          <w:rFonts w:ascii="Times New Roman" w:eastAsia="Calibri" w:hAnsi="Times New Roman" w:cs="Times New Roman"/>
          <w:sz w:val="24"/>
          <w:szCs w:val="24"/>
          <w:lang w:val="sr-Cyrl-BA" w:eastAsia="zh-CN"/>
        </w:rPr>
        <w:t xml:space="preserve">), </w:t>
      </w: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којом се, између осталог, прописује да министар доноси прописе и одлучује о другим питањима из дјелокруга министарства.</w:t>
      </w:r>
    </w:p>
    <w:p w:rsidR="007025FC" w:rsidRPr="007F2206" w:rsidRDefault="007025FC" w:rsidP="007025FC">
      <w:pPr>
        <w:suppressAutoHyphens/>
        <w:spacing w:after="6" w:line="240" w:lineRule="auto"/>
        <w:ind w:firstLine="340"/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  <w:r w:rsidRPr="007F2206"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  <w:t>II УСКЛАЂЕНОСТ СА ПРАВНИМ ПОРЕТКОМ ЕВРОПСКЕ УНИЈЕ</w:t>
      </w:r>
    </w:p>
    <w:p w:rsidR="007025FC" w:rsidRDefault="007025FC" w:rsidP="00EF1626">
      <w:pPr>
        <w:suppressAutoHyphens/>
        <w:spacing w:after="6" w:line="240" w:lineRule="auto"/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ind w:firstLine="340"/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  <w:r w:rsidRPr="007F2206"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  <w:t>III РАЗЛОЗИ ЗА ДОНОШЕЊЕ ПРАВИЛНИКА</w:t>
      </w:r>
    </w:p>
    <w:p w:rsidR="007025FC" w:rsidRPr="007F2206" w:rsidRDefault="007025FC" w:rsidP="007025FC">
      <w:pPr>
        <w:suppressAutoHyphens/>
        <w:spacing w:after="6" w:line="240" w:lineRule="auto"/>
        <w:ind w:firstLine="340"/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</w:pPr>
    </w:p>
    <w:p w:rsidR="009F13B3" w:rsidRDefault="006A055A" w:rsidP="007025FC">
      <w:pPr>
        <w:suppressAutoHyphens/>
        <w:spacing w:after="6" w:line="240" w:lineRule="auto"/>
        <w:ind w:firstLine="34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</w:pP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Од</w:t>
      </w:r>
      <w:r w:rsidR="00C57593"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тренутка доношења основног текста Правилника </w:t>
      </w:r>
      <w:r w:rsidR="00F74693" w:rsidRPr="009F13B3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о </w:t>
      </w:r>
      <w:r w:rsidR="00F74693" w:rsidRPr="00F74693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дјелатностима које се могу обављати сезонски</w:t>
      </w:r>
      <w:r w:rsidR="00C57593"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, више заинтересованих стран</w:t>
      </w:r>
      <w:r w:rsidR="009F13B3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а</w:t>
      </w:r>
      <w:r w:rsidR="00C57593"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ка достављало </w:t>
      </w:r>
      <w:r w:rsidR="00B27252"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је </w:t>
      </w:r>
      <w:r w:rsidR="00C57593"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поднеске у којима је истицало потребу да се утврђени </w:t>
      </w:r>
      <w:r w:rsidR="009F13B3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послови у предметном правилнику </w:t>
      </w:r>
      <w:r w:rsidR="009F13B3"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допуне са </w:t>
      </w:r>
      <w:r w:rsidR="009F13B3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дјелатностима, које </w:t>
      </w:r>
      <w:r w:rsidR="00F74693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се </w:t>
      </w:r>
      <w:r w:rsidR="009F13B3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због својих карактеристика и обиљежја могу обављати </w:t>
      </w:r>
      <w:r w:rsidR="00F74693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сезонски</w:t>
      </w:r>
      <w:r w:rsidR="009F13B3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.</w:t>
      </w:r>
    </w:p>
    <w:p w:rsidR="009F13B3" w:rsidRDefault="00C57593" w:rsidP="00E45F15">
      <w:pPr>
        <w:suppressAutoHyphens/>
        <w:spacing w:after="6" w:line="240" w:lineRule="auto"/>
        <w:ind w:firstLine="34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</w:pP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Министарство </w:t>
      </w:r>
      <w:r w:rsidR="009F13B3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привреде и предузетништва</w:t>
      </w: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обрадило </w:t>
      </w:r>
      <w:r w:rsidR="009F13B3"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је </w:t>
      </w: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све достављене приједлоге за измјен</w:t>
      </w:r>
      <w:r w:rsidR="009F13B3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у</w:t>
      </w: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листе </w:t>
      </w:r>
      <w:r w:rsidR="009F13B3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предметних</w:t>
      </w: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дјелатности. Осим обраде</w:t>
      </w:r>
      <w:r w:rsidR="00A81570"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достављених приједлога, ово министарство извршило је анализу и других разреда дјелатности из Уредбе о класификацији дјелатности Републике Српске („Службени гласник Републике Српске“, број 8/14). Ова анализа спроведена је у циљу идентификације да ли поједини разреди дјелатности из наведене уредбе садрже послове, који се </w:t>
      </w:r>
      <w:r w:rsidR="009F13B3" w:rsidRPr="009F13B3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због своје природе и начина обављања могу </w:t>
      </w:r>
      <w:r w:rsidR="00F74693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обављати сезонски</w:t>
      </w:r>
      <w:r w:rsidR="009F13B3" w:rsidRPr="009F13B3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.</w:t>
      </w:r>
    </w:p>
    <w:p w:rsidR="00D83426" w:rsidRDefault="00321F0F" w:rsidP="00D83426">
      <w:pPr>
        <w:suppressAutoHyphens/>
        <w:spacing w:after="6" w:line="240" w:lineRule="auto"/>
        <w:ind w:firstLine="34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</w:pPr>
      <w:r w:rsidRPr="00D8342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Послије окончања достављених приједлога и извршене анализе, установили смо да је важећу листу </w:t>
      </w:r>
      <w:r w:rsidR="009F13B3" w:rsidRPr="00D8342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предметних</w:t>
      </w:r>
      <w:r w:rsidRPr="00D8342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дјелатности неопходно измијенити на начин да </w:t>
      </w:r>
      <w:r w:rsidR="00C11589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се ова листа допуни са додатних 8</w:t>
      </w:r>
      <w:r w:rsidRPr="00D8342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разреда дјелатности. </w:t>
      </w:r>
      <w:r w:rsidR="00D83426" w:rsidRPr="00D8342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Нови разреди дјелатности су из области производње производа од бетона, цемента и гипса и поправке предмета за личну употребу и домаћинство.</w:t>
      </w:r>
    </w:p>
    <w:p w:rsidR="00DE657E" w:rsidRDefault="00DE657E" w:rsidP="0087395D">
      <w:pPr>
        <w:suppressAutoHyphens/>
        <w:spacing w:after="6" w:line="240" w:lineRule="auto"/>
        <w:ind w:firstLine="34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</w:pPr>
      <w:r w:rsidRPr="00DE657E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Осим допуне листе предметног правилника, спроведена анализа показала је да је из ове листе нужно изоставити разреде дјелатности 93.19 Остале спортске дјелатности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. </w:t>
      </w:r>
      <w:r w:rsidRPr="00DE657E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Означен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и</w:t>
      </w:r>
      <w:r w:rsidRPr="00DE657E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разред дјелатности потребно је брисати из листе предметних дјелатности, јер се ов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а</w:t>
      </w:r>
      <w:r w:rsidRPr="00DE657E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дјелатност не мо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же</w:t>
      </w:r>
      <w:r w:rsidRPr="00DE657E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об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а</w:t>
      </w:r>
      <w:r w:rsidRPr="00DE657E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вљати у форми предузетника, због рјешења Закон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а</w:t>
      </w:r>
      <w:r w:rsidR="00AE3D7B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о спорту („</w:t>
      </w:r>
      <w:r w:rsidRPr="00DE657E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Службени гла</w:t>
      </w:r>
      <w:r w:rsidR="00AE3D7B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сник Републике Српске“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, бр 4/02,</w:t>
      </w:r>
      <w:r w:rsidRPr="00DE657E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66/03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, 73/08 и 102/08</w:t>
      </w:r>
      <w:r w:rsidRPr="00DE657E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.</w:t>
      </w:r>
    </w:p>
    <w:p w:rsidR="006A055A" w:rsidRDefault="0087395D" w:rsidP="007025FC">
      <w:pPr>
        <w:suppressAutoHyphens/>
        <w:spacing w:after="6" w:line="240" w:lineRule="auto"/>
        <w:ind w:firstLine="34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</w:pP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Слиједом </w:t>
      </w:r>
      <w:r w:rsidR="00117742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поменут</w:t>
      </w: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ог, основни разлог за доношење овог правилника је успостављање потпуније и свеобухватн</w:t>
      </w:r>
      <w:r w:rsidR="00AA5625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иј</w:t>
      </w: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е листе дјелатности</w:t>
      </w:r>
      <w:r w:rsidR="009F13B3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које се могу обављати </w:t>
      </w:r>
      <w:r w:rsidR="00F74693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сезонски</w:t>
      </w: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.</w:t>
      </w:r>
    </w:p>
    <w:p w:rsidR="00E96025" w:rsidRDefault="00E96025" w:rsidP="007025FC">
      <w:pPr>
        <w:suppressAutoHyphens/>
        <w:spacing w:after="6" w:line="240" w:lineRule="auto"/>
        <w:ind w:firstLine="34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И у овим измјенама задржава се принцип успостављен у основном тексту Правилника да се 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предметне дјелатности наводе према рјешењима </w:t>
      </w:r>
      <w:r w:rsidR="002B0496"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Уредбе о класификацији дјелатности Републике Српске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, која је усаглашена са Уредбом Европског парламента и Савјета од 20. децембра 2006. године</w:t>
      </w:r>
      <w:bookmarkStart w:id="0" w:name="_GoBack"/>
      <w:bookmarkEnd w:id="0"/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</w:t>
      </w:r>
      <w:r w:rsidR="002B0496" w:rsidRPr="00E96025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o 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утврђивању</w:t>
      </w:r>
      <w:r w:rsidR="002B0496" w:rsidRPr="00E96025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статистичке</w:t>
      </w:r>
      <w:r w:rsidR="002B0496" w:rsidRPr="00E96025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класификације</w:t>
      </w:r>
      <w:r w:rsidR="002B0496" w:rsidRPr="00E96025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привредних</w:t>
      </w:r>
      <w:r w:rsidR="002B0496" w:rsidRPr="00E96025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дјелатности</w:t>
      </w:r>
      <w:r w:rsidR="002B0496" w:rsidRPr="00E96025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NACE</w:t>
      </w:r>
      <w:r w:rsidR="002B0496" w:rsidRPr="00E96025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Revision</w:t>
      </w:r>
      <w:r w:rsidR="002B0496" w:rsidRPr="00E96025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2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и</w:t>
      </w:r>
      <w:r w:rsidR="002B0496" w:rsidRPr="00E96025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измјени</w:t>
      </w:r>
      <w:r w:rsidR="002B0496" w:rsidRPr="00E96025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Уредбе</w:t>
      </w:r>
      <w:r w:rsidR="002B0496" w:rsidRPr="00E96025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Савјета</w:t>
      </w:r>
      <w:r w:rsidR="002B0496" w:rsidRPr="00E96025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(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ЕЕС</w:t>
      </w:r>
      <w:r w:rsidR="002B0496" w:rsidRPr="00E96025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) 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бр</w:t>
      </w:r>
      <w:r w:rsidR="002B0496" w:rsidRPr="00E96025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. 3037/90 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као</w:t>
      </w:r>
      <w:r w:rsidR="002B0496" w:rsidRPr="00E96025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и</w:t>
      </w:r>
      <w:r w:rsidR="002B0496" w:rsidRPr="00E96025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одређених</w:t>
      </w:r>
      <w:r w:rsidR="002B0496" w:rsidRPr="00E96025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уредби</w:t>
      </w:r>
      <w:r w:rsidR="002B0496" w:rsidRPr="00E96025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ЕС</w:t>
      </w:r>
      <w:r w:rsidR="002B0496" w:rsidRPr="00E96025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о</w:t>
      </w:r>
      <w:r w:rsidR="002B0496" w:rsidRPr="00E96025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посебним</w:t>
      </w:r>
      <w:r w:rsidR="002B0496" w:rsidRPr="00E96025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статистичким</w:t>
      </w:r>
      <w:r w:rsidR="002B0496" w:rsidRPr="00E96025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подручјима.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Latn-BA" w:eastAsia="zh-CN"/>
        </w:rPr>
        <w:t xml:space="preserve"> </w:t>
      </w:r>
      <w:r w:rsidR="003779F9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На тај начин, лица која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Latn-BA" w:eastAsia="zh-CN"/>
        </w:rPr>
        <w:t xml:space="preserve"> намјеравају своје пословање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регистровати и 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Latn-BA" w:eastAsia="zh-CN"/>
        </w:rPr>
        <w:t xml:space="preserve">обављати </w:t>
      </w:r>
      <w:r w:rsidR="00F74693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сезонски</w:t>
      </w:r>
      <w:r w:rsidR="002B049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, добијају информацију</w:t>
      </w:r>
      <w:r w:rsidR="003779F9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који разред дјелатности из </w:t>
      </w:r>
      <w:r w:rsidR="003779F9"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Уредбе </w:t>
      </w:r>
      <w:r w:rsidR="003779F9"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lastRenderedPageBreak/>
        <w:t>о класификацији дјелатности Републике Српске</w:t>
      </w:r>
      <w:r w:rsidR="003779F9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требају навести у обрасцу захтјева за регистрацију предузетника.</w:t>
      </w:r>
    </w:p>
    <w:p w:rsidR="005757B1" w:rsidRDefault="005757B1" w:rsidP="005757B1">
      <w:pPr>
        <w:suppressAutoHyphens/>
        <w:spacing w:after="6" w:line="240" w:lineRule="auto"/>
        <w:ind w:firstLine="34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Поред наведеног, новину у овом правилн</w:t>
      </w:r>
      <w:r w:rsidR="00AE5C6A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и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ку </w:t>
      </w:r>
      <w:r w:rsidRPr="00C24F41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представља и приказ обима послова, које предузетник може радити у оквиру једног разреда дјелатности. У односу на досадашње рјешење, додата је нова колона, у којој се наводи да ли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</w:t>
      </w:r>
      <w:r w:rsidRPr="00C24F41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предузетник може радити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сезонски</w:t>
      </w:r>
      <w:r w:rsidRPr="00C24F41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све послове из оквира конкретног разреда дјелатности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.</w:t>
      </w:r>
    </w:p>
    <w:p w:rsidR="00117742" w:rsidRPr="0065268E" w:rsidRDefault="00117742" w:rsidP="00117742">
      <w:pPr>
        <w:suppressAutoHyphens/>
        <w:spacing w:after="6" w:line="240" w:lineRule="auto"/>
        <w:ind w:firstLine="34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Сходно свему изнесеном, овај</w:t>
      </w:r>
      <w:r w:rsidRPr="0065268E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п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равилник </w:t>
      </w:r>
      <w:r w:rsidRPr="0065268E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доприно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си</w:t>
      </w:r>
      <w:r w:rsidRPr="0065268E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једноставнијем и јефтинијем покретању пословних активно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сти, повећању самозапошљавања, </w:t>
      </w:r>
      <w:r w:rsidRPr="0065268E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побољша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њу одрживости рада предузетника и смањењу рада на црно.</w:t>
      </w:r>
    </w:p>
    <w:p w:rsidR="00F74693" w:rsidRPr="00E96025" w:rsidRDefault="00F74693" w:rsidP="007025FC">
      <w:pPr>
        <w:suppressAutoHyphens/>
        <w:spacing w:after="6" w:line="240" w:lineRule="auto"/>
        <w:ind w:firstLine="34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  <w:r w:rsidRPr="007F2206"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  <w:t>IV ОБРАЗЛОЖЕЊЕ ПРЕДЛОЖЕНИХ РЈЕШЕЊА</w:t>
      </w:r>
    </w:p>
    <w:p w:rsidR="007025FC" w:rsidRPr="007F2206" w:rsidRDefault="007025FC" w:rsidP="007025FC">
      <w:pPr>
        <w:suppressAutoHyphens/>
        <w:spacing w:after="6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  <w:r w:rsidRPr="007F2206"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  <w:t xml:space="preserve">Чланом 1. </w:t>
      </w: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врши се </w:t>
      </w:r>
      <w:r w:rsidR="00C9021E"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измјена</w:t>
      </w: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 Прилога Правилника</w:t>
      </w:r>
      <w:r w:rsidR="00B4775B"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.</w:t>
      </w:r>
      <w:r w:rsidRPr="007F2206"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  <w:t xml:space="preserve"> </w:t>
      </w:r>
    </w:p>
    <w:p w:rsidR="007025FC" w:rsidRPr="007F2206" w:rsidRDefault="007025FC" w:rsidP="007025FC">
      <w:pPr>
        <w:suppressAutoHyphens/>
        <w:spacing w:after="6" w:line="240" w:lineRule="auto"/>
        <w:ind w:firstLine="34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</w:pPr>
      <w:r w:rsidRPr="007F2206"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  <w:t xml:space="preserve">Члан 2. </w:t>
      </w: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прописује ступање на снагу овог правилника.</w:t>
      </w:r>
    </w:p>
    <w:p w:rsidR="0087395D" w:rsidRPr="007F2206" w:rsidRDefault="0087395D" w:rsidP="002B0B9F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  <w:r w:rsidRPr="007F2206"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  <w:t>V УЧЕШЋЕ ЈАВНОСТИ И КОНСУЛТАЦИЈЕ У ИЗРАДИ ПРАВИЛНИКА</w:t>
      </w:r>
    </w:p>
    <w:p w:rsidR="007025FC" w:rsidRPr="007F2206" w:rsidRDefault="007025FC" w:rsidP="007025FC">
      <w:pPr>
        <w:suppressAutoHyphens/>
        <w:spacing w:after="6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5757B1" w:rsidRPr="007F2206" w:rsidRDefault="005757B1" w:rsidP="005757B1">
      <w:pPr>
        <w:suppressAutoHyphens/>
        <w:spacing w:after="6" w:line="240" w:lineRule="auto"/>
        <w:ind w:firstLine="34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</w:pP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У складу са Смјерницама за поступање републичких органа управе о учешћу јавности и консултацијама у изради закона („Службени гласник Републике Српске“, бр. 123/08 и 73/12), Преднацрт правилника објављен је на интернет страници </w:t>
      </w:r>
      <w:hyperlink r:id="rId5" w:history="1">
        <w:r w:rsidRPr="000057E9">
          <w:rPr>
            <w:rStyle w:val="Hyperlink"/>
            <w:rFonts w:ascii="Times New Roman" w:eastAsia="Calibri" w:hAnsi="Times New Roman" w:cs="Times New Roman"/>
            <w:bCs/>
            <w:sz w:val="24"/>
            <w:szCs w:val="24"/>
            <w:lang w:val="sr-Cyrl-BA" w:eastAsia="zh-CN"/>
          </w:rPr>
          <w:t>www.preduzetnickiportalsrpske.net</w:t>
        </w:r>
      </w:hyperlink>
      <w:r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, </w:t>
      </w: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 xml:space="preserve">да би се учинио доступан широј јавности ради давања евентуалних примједаба и коментара. </w:t>
      </w:r>
    </w:p>
    <w:p w:rsidR="007025FC" w:rsidRPr="007F2206" w:rsidRDefault="007025FC" w:rsidP="002B0B9F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  <w:r w:rsidRPr="007F2206"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  <w:t>VI ФИНАНСИЈСКА СРЕДСТВА</w:t>
      </w:r>
    </w:p>
    <w:p w:rsidR="007025FC" w:rsidRPr="007F2206" w:rsidRDefault="007025FC" w:rsidP="007025FC">
      <w:pPr>
        <w:suppressAutoHyphens/>
        <w:spacing w:after="6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zh-CN"/>
        </w:rPr>
      </w:pPr>
    </w:p>
    <w:p w:rsidR="007025FC" w:rsidRPr="007F2206" w:rsidRDefault="007025FC" w:rsidP="007025FC">
      <w:pPr>
        <w:suppressAutoHyphens/>
        <w:spacing w:after="6" w:line="240" w:lineRule="auto"/>
        <w:ind w:firstLine="34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</w:pPr>
      <w:r w:rsidRPr="007F2206">
        <w:rPr>
          <w:rFonts w:ascii="Times New Roman" w:eastAsia="Calibri" w:hAnsi="Times New Roman" w:cs="Times New Roman"/>
          <w:bCs/>
          <w:sz w:val="24"/>
          <w:szCs w:val="24"/>
          <w:lang w:val="sr-Cyrl-BA" w:eastAsia="zh-CN"/>
        </w:rPr>
        <w:t>За спровођење овог правилника нису потребна финансијска средства из Буџета Републике Српске.</w:t>
      </w:r>
    </w:p>
    <w:p w:rsidR="00F11E1D" w:rsidRPr="007F2206" w:rsidRDefault="00F11E1D">
      <w:pPr>
        <w:rPr>
          <w:lang w:val="sr-Cyrl-BA"/>
        </w:rPr>
      </w:pPr>
    </w:p>
    <w:sectPr w:rsidR="00F11E1D" w:rsidRPr="007F2206" w:rsidSect="005757B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52749"/>
    <w:multiLevelType w:val="hybridMultilevel"/>
    <w:tmpl w:val="C68C96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145BD5"/>
    <w:multiLevelType w:val="multilevel"/>
    <w:tmpl w:val="67664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FC"/>
    <w:rsid w:val="00030DEC"/>
    <w:rsid w:val="00052F52"/>
    <w:rsid w:val="00076C14"/>
    <w:rsid w:val="000865C9"/>
    <w:rsid w:val="000A3889"/>
    <w:rsid w:val="000B48D5"/>
    <w:rsid w:val="000B5A2A"/>
    <w:rsid w:val="000C796F"/>
    <w:rsid w:val="000D04E8"/>
    <w:rsid w:val="000F331F"/>
    <w:rsid w:val="00112BBA"/>
    <w:rsid w:val="00117742"/>
    <w:rsid w:val="00125DD7"/>
    <w:rsid w:val="00137328"/>
    <w:rsid w:val="00143BBE"/>
    <w:rsid w:val="00147B25"/>
    <w:rsid w:val="00194881"/>
    <w:rsid w:val="001955D7"/>
    <w:rsid w:val="001C5086"/>
    <w:rsid w:val="00206F23"/>
    <w:rsid w:val="00223318"/>
    <w:rsid w:val="00244DDE"/>
    <w:rsid w:val="002570AB"/>
    <w:rsid w:val="0025716F"/>
    <w:rsid w:val="0026352E"/>
    <w:rsid w:val="00266729"/>
    <w:rsid w:val="002858BE"/>
    <w:rsid w:val="002A40BF"/>
    <w:rsid w:val="002B0496"/>
    <w:rsid w:val="002B0B9F"/>
    <w:rsid w:val="002B5783"/>
    <w:rsid w:val="002C16D6"/>
    <w:rsid w:val="00306EDD"/>
    <w:rsid w:val="00316315"/>
    <w:rsid w:val="00321D80"/>
    <w:rsid w:val="00321F0F"/>
    <w:rsid w:val="00321FCA"/>
    <w:rsid w:val="00326897"/>
    <w:rsid w:val="00363EAE"/>
    <w:rsid w:val="00372C4D"/>
    <w:rsid w:val="003779F9"/>
    <w:rsid w:val="0038745B"/>
    <w:rsid w:val="003A2759"/>
    <w:rsid w:val="003B0355"/>
    <w:rsid w:val="003C51C9"/>
    <w:rsid w:val="003D2D83"/>
    <w:rsid w:val="003E060E"/>
    <w:rsid w:val="003F544A"/>
    <w:rsid w:val="00415289"/>
    <w:rsid w:val="00436D04"/>
    <w:rsid w:val="00462619"/>
    <w:rsid w:val="004A40AE"/>
    <w:rsid w:val="00511AB7"/>
    <w:rsid w:val="0053235A"/>
    <w:rsid w:val="0055207B"/>
    <w:rsid w:val="00554EBF"/>
    <w:rsid w:val="0056565B"/>
    <w:rsid w:val="0057163D"/>
    <w:rsid w:val="005719D2"/>
    <w:rsid w:val="005757B1"/>
    <w:rsid w:val="005870B1"/>
    <w:rsid w:val="005C70D4"/>
    <w:rsid w:val="005E7268"/>
    <w:rsid w:val="005F7764"/>
    <w:rsid w:val="00616388"/>
    <w:rsid w:val="006401E4"/>
    <w:rsid w:val="006A055A"/>
    <w:rsid w:val="006E2786"/>
    <w:rsid w:val="007025FC"/>
    <w:rsid w:val="00742090"/>
    <w:rsid w:val="00743A40"/>
    <w:rsid w:val="00776D39"/>
    <w:rsid w:val="00785DAF"/>
    <w:rsid w:val="007B194F"/>
    <w:rsid w:val="007F2206"/>
    <w:rsid w:val="007F2CA0"/>
    <w:rsid w:val="00802F66"/>
    <w:rsid w:val="0080623A"/>
    <w:rsid w:val="0081450B"/>
    <w:rsid w:val="008446B2"/>
    <w:rsid w:val="00844D82"/>
    <w:rsid w:val="00847AE0"/>
    <w:rsid w:val="0087395D"/>
    <w:rsid w:val="008A2A5A"/>
    <w:rsid w:val="008A2D87"/>
    <w:rsid w:val="008B7F96"/>
    <w:rsid w:val="008C4959"/>
    <w:rsid w:val="008D2FB6"/>
    <w:rsid w:val="008D7BC2"/>
    <w:rsid w:val="00933011"/>
    <w:rsid w:val="0094766A"/>
    <w:rsid w:val="009B5F94"/>
    <w:rsid w:val="009C09DF"/>
    <w:rsid w:val="009F13B3"/>
    <w:rsid w:val="00A25B57"/>
    <w:rsid w:val="00A27D43"/>
    <w:rsid w:val="00A53F52"/>
    <w:rsid w:val="00A81570"/>
    <w:rsid w:val="00A82165"/>
    <w:rsid w:val="00A87C6D"/>
    <w:rsid w:val="00A9453D"/>
    <w:rsid w:val="00AA2C6A"/>
    <w:rsid w:val="00AA5625"/>
    <w:rsid w:val="00AC29B8"/>
    <w:rsid w:val="00AD04C0"/>
    <w:rsid w:val="00AE3D7B"/>
    <w:rsid w:val="00AE5C6A"/>
    <w:rsid w:val="00AE770F"/>
    <w:rsid w:val="00B05949"/>
    <w:rsid w:val="00B27252"/>
    <w:rsid w:val="00B4775B"/>
    <w:rsid w:val="00B50CF8"/>
    <w:rsid w:val="00B62DD4"/>
    <w:rsid w:val="00B65339"/>
    <w:rsid w:val="00B84D95"/>
    <w:rsid w:val="00B85ABD"/>
    <w:rsid w:val="00BC033E"/>
    <w:rsid w:val="00BF6254"/>
    <w:rsid w:val="00BF7B8A"/>
    <w:rsid w:val="00C102DE"/>
    <w:rsid w:val="00C11589"/>
    <w:rsid w:val="00C57593"/>
    <w:rsid w:val="00C9021E"/>
    <w:rsid w:val="00CA617B"/>
    <w:rsid w:val="00CB44F2"/>
    <w:rsid w:val="00CC25F7"/>
    <w:rsid w:val="00CC3FBA"/>
    <w:rsid w:val="00CD5842"/>
    <w:rsid w:val="00D6099F"/>
    <w:rsid w:val="00D83426"/>
    <w:rsid w:val="00DA0F34"/>
    <w:rsid w:val="00DA38F8"/>
    <w:rsid w:val="00DD28FB"/>
    <w:rsid w:val="00DE657E"/>
    <w:rsid w:val="00E0318A"/>
    <w:rsid w:val="00E44371"/>
    <w:rsid w:val="00E45F15"/>
    <w:rsid w:val="00E54B27"/>
    <w:rsid w:val="00E96025"/>
    <w:rsid w:val="00EC0E53"/>
    <w:rsid w:val="00EC2BB7"/>
    <w:rsid w:val="00EE4529"/>
    <w:rsid w:val="00EF1626"/>
    <w:rsid w:val="00EF4F87"/>
    <w:rsid w:val="00F00704"/>
    <w:rsid w:val="00F007C5"/>
    <w:rsid w:val="00F01CEA"/>
    <w:rsid w:val="00F04CDA"/>
    <w:rsid w:val="00F07592"/>
    <w:rsid w:val="00F11E1D"/>
    <w:rsid w:val="00F359F8"/>
    <w:rsid w:val="00F62055"/>
    <w:rsid w:val="00F74693"/>
    <w:rsid w:val="00F91D79"/>
    <w:rsid w:val="00FA14DE"/>
    <w:rsid w:val="00FA3E65"/>
    <w:rsid w:val="00FB67F5"/>
    <w:rsid w:val="00FB6E77"/>
    <w:rsid w:val="00FF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C156"/>
  <w15:docId w15:val="{6FC6127C-52C1-4791-88C6-3178126E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57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eduzetnickiportalsrpsk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12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Tesic</dc:creator>
  <cp:keywords/>
  <dc:description/>
  <cp:lastModifiedBy>Mladen Lazic</cp:lastModifiedBy>
  <cp:revision>121</cp:revision>
  <cp:lastPrinted>2019-01-22T08:49:00Z</cp:lastPrinted>
  <dcterms:created xsi:type="dcterms:W3CDTF">2018-03-15T10:20:00Z</dcterms:created>
  <dcterms:modified xsi:type="dcterms:W3CDTF">2019-01-22T09:43:00Z</dcterms:modified>
</cp:coreProperties>
</file>